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74D84" w14:textId="0156F3D3" w:rsidR="007748ED" w:rsidRDefault="007748ED" w:rsidP="007748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FC5E17">
          <w:rPr>
            <w:b/>
            <w:noProof/>
            <w:sz w:val="24"/>
          </w:rPr>
          <w:t>10</w:t>
        </w:r>
        <w:r w:rsidR="0019340F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  <w:r w:rsidR="00B71060" w:rsidRPr="00B71060">
          <w:rPr>
            <w:b/>
            <w:i/>
            <w:noProof/>
            <w:sz w:val="28"/>
          </w:rPr>
          <w:t>240618</w:t>
        </w:r>
      </w:fldSimple>
    </w:p>
    <w:p w14:paraId="7885B623" w14:textId="07FB082F" w:rsidR="007748ED" w:rsidRDefault="00000000" w:rsidP="007748E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90B5F" w:rsidRPr="00BA51D9">
          <w:rPr>
            <w:b/>
            <w:noProof/>
            <w:sz w:val="24"/>
          </w:rPr>
          <w:t>Athens</w:t>
        </w:r>
      </w:fldSimple>
      <w:r w:rsidR="00590B5F">
        <w:rPr>
          <w:b/>
          <w:noProof/>
          <w:sz w:val="24"/>
        </w:rPr>
        <w:t xml:space="preserve">, </w:t>
      </w:r>
      <w:fldSimple w:instr=" DOCPROPERTY  Country  \* MERGEFORMAT ">
        <w:r w:rsidR="00590B5F" w:rsidRPr="00BA51D9">
          <w:rPr>
            <w:b/>
            <w:noProof/>
            <w:sz w:val="24"/>
          </w:rPr>
          <w:t>Greece</w:t>
        </w:r>
      </w:fldSimple>
      <w:r w:rsidR="00590B5F">
        <w:rPr>
          <w:b/>
          <w:noProof/>
          <w:sz w:val="24"/>
        </w:rPr>
        <w:t xml:space="preserve">, </w:t>
      </w:r>
      <w:fldSimple w:instr=" DOCPROPERTY  StartDate  \* MERGEFORMAT ">
        <w:r w:rsidR="00590B5F" w:rsidRPr="00BA51D9">
          <w:rPr>
            <w:b/>
            <w:noProof/>
            <w:sz w:val="24"/>
          </w:rPr>
          <w:t>2</w:t>
        </w:r>
        <w:r w:rsidR="00590B5F">
          <w:rPr>
            <w:b/>
            <w:noProof/>
            <w:sz w:val="24"/>
          </w:rPr>
          <w:t>6</w:t>
        </w:r>
        <w:r w:rsidR="00590B5F" w:rsidRPr="00BA51D9">
          <w:rPr>
            <w:b/>
            <w:noProof/>
            <w:sz w:val="24"/>
          </w:rPr>
          <w:t>th Feb 202</w:t>
        </w:r>
        <w:r w:rsidR="00E561B7">
          <w:rPr>
            <w:b/>
            <w:noProof/>
            <w:sz w:val="24"/>
          </w:rPr>
          <w:t>4</w:t>
        </w:r>
      </w:fldSimple>
      <w:r w:rsidR="00590B5F">
        <w:rPr>
          <w:b/>
          <w:noProof/>
          <w:sz w:val="24"/>
        </w:rPr>
        <w:t xml:space="preserve"> </w:t>
      </w:r>
      <w:r w:rsidR="00E561B7">
        <w:rPr>
          <w:b/>
          <w:noProof/>
          <w:sz w:val="24"/>
        </w:rPr>
        <w:t>–</w:t>
      </w:r>
      <w:r w:rsidR="00590B5F">
        <w:rPr>
          <w:b/>
          <w:noProof/>
          <w:sz w:val="24"/>
        </w:rPr>
        <w:t xml:space="preserve"> </w:t>
      </w:r>
      <w:fldSimple w:instr=" DOCPROPERTY  EndDate  \* MERGEFORMAT ">
        <w:r w:rsidR="00E561B7">
          <w:rPr>
            <w:b/>
            <w:noProof/>
            <w:sz w:val="24"/>
          </w:rPr>
          <w:t>1st</w:t>
        </w:r>
        <w:r w:rsidR="00590B5F" w:rsidRPr="00BA51D9">
          <w:rPr>
            <w:b/>
            <w:noProof/>
            <w:sz w:val="24"/>
          </w:rPr>
          <w:t xml:space="preserve"> Mar 202</w:t>
        </w:r>
        <w:r w:rsidR="00E561B7">
          <w:rPr>
            <w:b/>
            <w:noProof/>
            <w:sz w:val="24"/>
          </w:rPr>
          <w:t>4</w:t>
        </w:r>
      </w:fldSimple>
    </w:p>
    <w:p w14:paraId="35952388" w14:textId="7E2BF2F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C878DE" w:rsidRPr="00C878DE">
        <w:rPr>
          <w:rFonts w:ascii="Arial" w:hAnsi="Arial" w:cs="Arial"/>
          <w:sz w:val="24"/>
          <w:szCs w:val="24"/>
        </w:rPr>
        <w:t>5.4.20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54BDA3A6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80154E" w:rsidRPr="0080154E">
        <w:rPr>
          <w:rFonts w:ascii="Arial" w:hAnsi="Arial" w:cs="Arial"/>
          <w:sz w:val="24"/>
          <w:szCs w:val="24"/>
        </w:rPr>
        <w:t>Further discussion on FR1 EVM testing in shorter transient period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0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47AA114C" w:rsidR="000606FD" w:rsidRPr="00354167" w:rsidRDefault="000833ED" w:rsidP="005E2166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AB765A">
        <w:rPr>
          <w:rFonts w:eastAsia="Batang"/>
        </w:rPr>
        <w:t xml:space="preserve"> focus</w:t>
      </w:r>
      <w:r w:rsidR="00A322EF">
        <w:rPr>
          <w:rFonts w:eastAsia="Batang"/>
        </w:rPr>
        <w:t>es</w:t>
      </w:r>
      <w:r w:rsidR="00AB765A">
        <w:rPr>
          <w:rFonts w:eastAsia="Batang"/>
        </w:rPr>
        <w:t xml:space="preserve"> on calculating the </w:t>
      </w:r>
      <w:r w:rsidR="00E6256A">
        <w:rPr>
          <w:rFonts w:eastAsia="Batang"/>
        </w:rPr>
        <w:t xml:space="preserve">MTSU and TT to be considered for measuring EVM </w:t>
      </w:r>
      <w:r w:rsidR="006F7F2C">
        <w:rPr>
          <w:rFonts w:eastAsia="Batang"/>
        </w:rPr>
        <w:t xml:space="preserve">in shorter transient periods taking into account the agreements </w:t>
      </w:r>
      <w:r w:rsidR="00A322EF">
        <w:rPr>
          <w:rFonts w:eastAsia="Batang"/>
        </w:rPr>
        <w:t xml:space="preserve">made during previous meeting in </w:t>
      </w:r>
      <w:r w:rsidR="00A322EF">
        <w:rPr>
          <w:rFonts w:eastAsia="Batang"/>
        </w:rPr>
        <w:fldChar w:fldCharType="begin"/>
      </w:r>
      <w:r w:rsidR="00A322EF">
        <w:rPr>
          <w:rFonts w:eastAsia="Batang"/>
        </w:rPr>
        <w:instrText xml:space="preserve"> REF _Ref153449722 \r \h </w:instrText>
      </w:r>
      <w:r w:rsidR="00A322EF">
        <w:rPr>
          <w:rFonts w:eastAsia="Batang"/>
        </w:rPr>
      </w:r>
      <w:r w:rsidR="00A322EF">
        <w:rPr>
          <w:rFonts w:eastAsia="Batang"/>
        </w:rPr>
        <w:fldChar w:fldCharType="separate"/>
      </w:r>
      <w:r w:rsidR="00C77138">
        <w:rPr>
          <w:rFonts w:eastAsia="Batang"/>
        </w:rPr>
        <w:t>[5]</w:t>
      </w:r>
      <w:r w:rsidR="00A322EF">
        <w:rPr>
          <w:rFonts w:eastAsia="Batang"/>
        </w:rPr>
        <w:fldChar w:fldCharType="end"/>
      </w:r>
      <w:r w:rsidR="00A322EF">
        <w:rPr>
          <w:rFonts w:eastAsia="Batang"/>
        </w:rPr>
        <w:t xml:space="preserve"> and </w:t>
      </w:r>
      <w:r w:rsidR="00A322EF">
        <w:rPr>
          <w:rFonts w:eastAsia="Batang"/>
        </w:rPr>
        <w:fldChar w:fldCharType="begin"/>
      </w:r>
      <w:r w:rsidR="00A322EF">
        <w:rPr>
          <w:rFonts w:eastAsia="Batang"/>
        </w:rPr>
        <w:instrText xml:space="preserve"> REF _Ref153449725 \r \h </w:instrText>
      </w:r>
      <w:r w:rsidR="00A322EF">
        <w:rPr>
          <w:rFonts w:eastAsia="Batang"/>
        </w:rPr>
      </w:r>
      <w:r w:rsidR="00A322EF">
        <w:rPr>
          <w:rFonts w:eastAsia="Batang"/>
        </w:rPr>
        <w:fldChar w:fldCharType="separate"/>
      </w:r>
      <w:r w:rsidR="00C77138">
        <w:rPr>
          <w:rFonts w:eastAsia="Batang"/>
        </w:rPr>
        <w:t>[6]</w:t>
      </w:r>
      <w:r w:rsidR="00A322EF">
        <w:rPr>
          <w:rFonts w:eastAsia="Batang"/>
        </w:rPr>
        <w:fldChar w:fldCharType="end"/>
      </w:r>
      <w:r w:rsidR="00A322EF">
        <w:rPr>
          <w:rFonts w:eastAsia="Batang"/>
        </w:rPr>
        <w:t xml:space="preserve"> regarding the PRB reallocation to </w:t>
      </w:r>
      <w:r w:rsidR="00BF12F9">
        <w:rPr>
          <w:rFonts w:eastAsia="Batang"/>
        </w:rPr>
        <w:t>test depending on the BW and the power levels to assume before and after the PRB reallocations</w:t>
      </w:r>
      <w:r w:rsidR="006C2AF9" w:rsidRPr="00354167">
        <w:rPr>
          <w:rFonts w:eastAsia="Batang"/>
        </w:rPr>
        <w:t>.</w:t>
      </w:r>
    </w:p>
    <w:p w14:paraId="3475675B" w14:textId="77777777" w:rsidR="00DB6CE7" w:rsidRDefault="00DB6CE7" w:rsidP="00DB6CE7">
      <w:pPr>
        <w:pStyle w:val="Heading1"/>
        <w:numPr>
          <w:ilvl w:val="0"/>
          <w:numId w:val="42"/>
        </w:numPr>
        <w:ind w:left="360"/>
      </w:pPr>
      <w:bookmarkStart w:id="2" w:name="_Ref31104997"/>
      <w:r>
        <w:t>Discussion</w:t>
      </w:r>
    </w:p>
    <w:p w14:paraId="0E81E95A" w14:textId="04DB8E81" w:rsidR="0064468E" w:rsidRPr="00423F6F" w:rsidRDefault="0064468E" w:rsidP="0064468E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General</w:t>
      </w:r>
    </w:p>
    <w:p w14:paraId="0C057441" w14:textId="2F0E5592" w:rsidR="00CA3D15" w:rsidRDefault="000D373C" w:rsidP="00D56051">
      <w:pPr>
        <w:rPr>
          <w:rFonts w:eastAsia="Batang"/>
        </w:rPr>
      </w:pPr>
      <w:r>
        <w:t xml:space="preserve">In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_Ref153449722 \r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 w:rsidR="00C77138">
        <w:rPr>
          <w:rFonts w:eastAsia="Batang"/>
        </w:rPr>
        <w:t>[5]</w:t>
      </w:r>
      <w:r>
        <w:rPr>
          <w:rFonts w:eastAsia="Batang"/>
        </w:rPr>
        <w:fldChar w:fldCharType="end"/>
      </w:r>
      <w:r>
        <w:rPr>
          <w:rFonts w:eastAsia="Batang"/>
        </w:rPr>
        <w:t xml:space="preserve"> it was agreed that whenever </w:t>
      </w:r>
      <w:r w:rsidR="00B97C39">
        <w:rPr>
          <w:rFonts w:eastAsia="Batang"/>
        </w:rPr>
        <w:t xml:space="preserve">the 20dB PRB power step change (via 100:1 PRB reallocation) </w:t>
      </w:r>
      <w:r w:rsidR="00275507">
        <w:rPr>
          <w:rFonts w:eastAsia="Batang"/>
        </w:rPr>
        <w:t xml:space="preserve">is not available, </w:t>
      </w:r>
      <w:r w:rsidR="00B97C39">
        <w:rPr>
          <w:rFonts w:eastAsia="Batang"/>
        </w:rPr>
        <w:t>that 13.8dB PRB power step change (via 24:1 PRB reallocation</w:t>
      </w:r>
      <w:r w:rsidR="00275507">
        <w:rPr>
          <w:rFonts w:eastAsia="Batang"/>
        </w:rPr>
        <w:t>) will be tested. That means that 13.</w:t>
      </w:r>
      <w:r w:rsidR="003712D2">
        <w:rPr>
          <w:rFonts w:eastAsia="Batang"/>
        </w:rPr>
        <w:t xml:space="preserve">8dB PRB power step change </w:t>
      </w:r>
      <w:r w:rsidR="001B5B4F">
        <w:rPr>
          <w:rFonts w:eastAsia="Batang"/>
        </w:rPr>
        <w:t>will be the configuration to test for all the bandwi</w:t>
      </w:r>
      <w:r w:rsidR="00AF09E6">
        <w:rPr>
          <w:rFonts w:eastAsia="Batang"/>
        </w:rPr>
        <w:t>d</w:t>
      </w:r>
      <w:r w:rsidR="001B5B4F">
        <w:rPr>
          <w:rFonts w:eastAsia="Batang"/>
        </w:rPr>
        <w:t xml:space="preserve">ths and SCSs combinations </w:t>
      </w:r>
      <w:r w:rsidR="007037F2">
        <w:rPr>
          <w:rFonts w:eastAsia="Batang"/>
        </w:rPr>
        <w:t>with less than 100 PRB available.</w:t>
      </w:r>
      <w:r w:rsidR="005111F2">
        <w:rPr>
          <w:rFonts w:eastAsia="Batang"/>
        </w:rPr>
        <w:t xml:space="preserve"> </w:t>
      </w:r>
      <w:r w:rsidR="00CA3D15">
        <w:rPr>
          <w:rFonts w:eastAsia="Batang"/>
        </w:rPr>
        <w:t xml:space="preserve">According to </w:t>
      </w:r>
      <w:r w:rsidR="00CA3D15" w:rsidRPr="009E20AA">
        <w:t>Table 5.3.2-1</w:t>
      </w:r>
      <w:r w:rsidR="00CA3D15">
        <w:t xml:space="preserve"> in </w:t>
      </w:r>
      <w:r w:rsidR="00CA3D15">
        <w:fldChar w:fldCharType="begin"/>
      </w:r>
      <w:r w:rsidR="00CA3D15">
        <w:instrText xml:space="preserve"> REF _Ref139462885 \r \h </w:instrText>
      </w:r>
      <w:r w:rsidR="00CA3D15">
        <w:fldChar w:fldCharType="separate"/>
      </w:r>
      <w:r w:rsidR="007C781C">
        <w:t>[7]</w:t>
      </w:r>
      <w:r w:rsidR="00CA3D15">
        <w:fldChar w:fldCharType="end"/>
      </w:r>
      <w:r w:rsidR="00CA3D15">
        <w:t>, that will happen for BWs ≤</w:t>
      </w:r>
      <w:r w:rsidR="005111F2">
        <w:t xml:space="preserve"> 15MHz for 15kHz SCS and BWs ≤ 35MHz for 30kHz SCS.</w:t>
      </w:r>
      <w:r w:rsidR="00793605">
        <w:t xml:space="preserve"> According to that proposal, </w:t>
      </w:r>
      <w:r w:rsidR="00793605" w:rsidRPr="00793605">
        <w:rPr>
          <w:bCs/>
        </w:rPr>
        <w:t>testing 100:1 PRB reallocation (20dB power change) or 24:1 PRB reallocation (24:1 PRB reallocation) will depend on the final MU analysis</w:t>
      </w:r>
      <w:r w:rsidR="00B018D1">
        <w:rPr>
          <w:bCs/>
        </w:rPr>
        <w:t xml:space="preserve"> that is at least continued in this meeting.</w:t>
      </w:r>
    </w:p>
    <w:p w14:paraId="243872A7" w14:textId="23959873" w:rsidR="003E58BB" w:rsidRDefault="003E58BB" w:rsidP="003E58BB">
      <w:pPr>
        <w:pStyle w:val="Caption"/>
        <w:rPr>
          <w:b w:val="0"/>
          <w:bCs/>
        </w:rPr>
      </w:pPr>
      <w:bookmarkStart w:id="3" w:name="_Ref153544528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7C781C">
        <w:rPr>
          <w:noProof/>
        </w:rPr>
        <w:t>1</w:t>
      </w:r>
      <w:r>
        <w:fldChar w:fldCharType="end"/>
      </w:r>
      <w:r>
        <w:t xml:space="preserve">. </w:t>
      </w:r>
      <w:r w:rsidR="00F51005">
        <w:rPr>
          <w:b w:val="0"/>
          <w:bCs/>
        </w:rPr>
        <w:t xml:space="preserve">According to proposal 1 agreed in </w:t>
      </w:r>
      <w:r w:rsidR="00F51005" w:rsidRPr="00BC1CE0">
        <w:rPr>
          <w:b w:val="0"/>
          <w:bCs/>
        </w:rPr>
        <w:fldChar w:fldCharType="begin"/>
      </w:r>
      <w:r w:rsidR="00F51005" w:rsidRPr="00BC1CE0">
        <w:rPr>
          <w:b w:val="0"/>
          <w:bCs/>
        </w:rPr>
        <w:instrText xml:space="preserve"> REF _Ref153449722 \r \h </w:instrText>
      </w:r>
      <w:r w:rsidR="00BC1CE0">
        <w:rPr>
          <w:b w:val="0"/>
          <w:bCs/>
        </w:rPr>
        <w:instrText xml:space="preserve"> \* MERGEFORMAT </w:instrText>
      </w:r>
      <w:r w:rsidR="00F51005" w:rsidRPr="00BC1CE0">
        <w:rPr>
          <w:b w:val="0"/>
          <w:bCs/>
        </w:rPr>
      </w:r>
      <w:r w:rsidR="00F51005" w:rsidRPr="00BC1CE0">
        <w:rPr>
          <w:b w:val="0"/>
          <w:bCs/>
        </w:rPr>
        <w:fldChar w:fldCharType="separate"/>
      </w:r>
      <w:r w:rsidR="007C781C">
        <w:rPr>
          <w:b w:val="0"/>
          <w:bCs/>
        </w:rPr>
        <w:t>[5]</w:t>
      </w:r>
      <w:r w:rsidR="00F51005" w:rsidRPr="00BC1CE0">
        <w:rPr>
          <w:b w:val="0"/>
          <w:bCs/>
        </w:rPr>
        <w:fldChar w:fldCharType="end"/>
      </w:r>
      <w:r w:rsidR="00F51005">
        <w:rPr>
          <w:b w:val="0"/>
          <w:bCs/>
        </w:rPr>
        <w:t>,</w:t>
      </w:r>
      <w:r w:rsidR="00BC1CE0">
        <w:rPr>
          <w:b w:val="0"/>
          <w:bCs/>
        </w:rPr>
        <w:t xml:space="preserve"> </w:t>
      </w:r>
      <w:r w:rsidR="00BC1CE0" w:rsidRPr="00BC1CE0">
        <w:rPr>
          <w:b w:val="0"/>
          <w:bCs/>
        </w:rPr>
        <w:t>for BWs ≤ 15MHz for 15kHz SCS and BWs ≤ 35MHz for 30kHz SCS</w:t>
      </w:r>
      <w:r w:rsidR="00CB2013">
        <w:rPr>
          <w:b w:val="0"/>
          <w:bCs/>
        </w:rPr>
        <w:t xml:space="preserve"> power change will be tested using a 24:1 PRB reallocation</w:t>
      </w:r>
      <w:r w:rsidRPr="008D074B">
        <w:rPr>
          <w:b w:val="0"/>
          <w:bCs/>
        </w:rPr>
        <w:t>.</w:t>
      </w:r>
      <w:bookmarkEnd w:id="3"/>
    </w:p>
    <w:p w14:paraId="1E9590BC" w14:textId="2D788D10" w:rsidR="00CB1971" w:rsidRPr="00793605" w:rsidRDefault="00793605" w:rsidP="00793605">
      <w:pPr>
        <w:pStyle w:val="Caption"/>
        <w:rPr>
          <w:b w:val="0"/>
          <w:bCs/>
        </w:rPr>
      </w:pPr>
      <w:bookmarkStart w:id="4" w:name="_Ref15354453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7C781C">
        <w:rPr>
          <w:noProof/>
        </w:rPr>
        <w:t>2</w:t>
      </w:r>
      <w:r>
        <w:fldChar w:fldCharType="end"/>
      </w:r>
      <w:r>
        <w:t xml:space="preserve">. </w:t>
      </w:r>
      <w:r w:rsidR="00CB1971" w:rsidRPr="00793605">
        <w:rPr>
          <w:b w:val="0"/>
          <w:bCs/>
        </w:rPr>
        <w:t xml:space="preserve">For the rest of BW and SCS combinations, </w:t>
      </w:r>
      <w:r w:rsidR="007472BE" w:rsidRPr="00793605">
        <w:rPr>
          <w:b w:val="0"/>
          <w:bCs/>
        </w:rPr>
        <w:t xml:space="preserve">testing 100:1 PRB reallocation (20dB power change) or 24:1 PRB reallocation </w:t>
      </w:r>
      <w:r w:rsidR="00D45214" w:rsidRPr="00793605">
        <w:rPr>
          <w:b w:val="0"/>
          <w:bCs/>
        </w:rPr>
        <w:t>(24:1 PRB reallocation) will depend on the final MU analysis.</w:t>
      </w:r>
      <w:bookmarkEnd w:id="4"/>
    </w:p>
    <w:p w14:paraId="3A4C9D7D" w14:textId="77777777" w:rsidR="00CB1971" w:rsidRDefault="00CB1971" w:rsidP="00D56051">
      <w:pPr>
        <w:rPr>
          <w:bCs/>
        </w:rPr>
      </w:pPr>
    </w:p>
    <w:p w14:paraId="33ED0384" w14:textId="2A1E10B7" w:rsidR="00DB2216" w:rsidRPr="00793605" w:rsidRDefault="00DB2216" w:rsidP="00D56051">
      <w:pPr>
        <w:rPr>
          <w:bCs/>
        </w:rPr>
      </w:pPr>
      <w:r>
        <w:rPr>
          <w:bCs/>
        </w:rPr>
        <w:t xml:space="preserve">For the agreed PRB reallocations under study, </w:t>
      </w:r>
      <w:r w:rsidR="00343EE5">
        <w:rPr>
          <w:bCs/>
        </w:rPr>
        <w:t xml:space="preserve">100:1 and 24:1, for many of the BWs and SCS combinations, those allocations </w:t>
      </w:r>
      <w:r w:rsidR="003663B9">
        <w:rPr>
          <w:bCs/>
        </w:rPr>
        <w:t>will not occupy</w:t>
      </w:r>
      <w:r w:rsidR="008B740A">
        <w:rPr>
          <w:bCs/>
        </w:rPr>
        <w:t xml:space="preserve"> the full CBW, so it should be defined the allocation of those PRB allocations. </w:t>
      </w:r>
      <w:r w:rsidR="007363F0">
        <w:rPr>
          <w:bCs/>
        </w:rPr>
        <w:t xml:space="preserve">Typically, UE performance can be worse for allocations </w:t>
      </w:r>
      <w:r w:rsidR="001B0CED">
        <w:rPr>
          <w:bCs/>
        </w:rPr>
        <w:t>at</w:t>
      </w:r>
      <w:r w:rsidR="007363F0">
        <w:rPr>
          <w:bCs/>
        </w:rPr>
        <w:t xml:space="preserve"> the </w:t>
      </w:r>
      <w:r w:rsidR="001B0CED">
        <w:rPr>
          <w:bCs/>
        </w:rPr>
        <w:t xml:space="preserve">CBW edges rather than at the </w:t>
      </w:r>
      <w:r w:rsidR="00AA4267">
        <w:rPr>
          <w:bCs/>
        </w:rPr>
        <w:t>centre</w:t>
      </w:r>
      <w:r w:rsidR="001B0CED">
        <w:rPr>
          <w:bCs/>
        </w:rPr>
        <w:t xml:space="preserve">. Having no </w:t>
      </w:r>
      <w:r w:rsidR="0079554E">
        <w:rPr>
          <w:bCs/>
        </w:rPr>
        <w:t>clear preference</w:t>
      </w:r>
      <w:r w:rsidR="00AA4267">
        <w:rPr>
          <w:bCs/>
        </w:rPr>
        <w:t xml:space="preserve"> on the CBW edge to test and trying to minimize the testing time by reducing the number of possible </w:t>
      </w:r>
      <w:r w:rsidR="007C781C">
        <w:rPr>
          <w:bCs/>
        </w:rPr>
        <w:t>test points</w:t>
      </w:r>
      <w:r w:rsidR="00AA4267">
        <w:rPr>
          <w:bCs/>
        </w:rPr>
        <w:t xml:space="preserve">, it is </w:t>
      </w:r>
      <w:r w:rsidR="008157E2">
        <w:rPr>
          <w:bCs/>
        </w:rPr>
        <w:t>proposed</w:t>
      </w:r>
      <w:r w:rsidR="00AA4267">
        <w:rPr>
          <w:bCs/>
        </w:rPr>
        <w:t xml:space="preserve"> to test only </w:t>
      </w:r>
      <w:r w:rsidR="008157E2">
        <w:rPr>
          <w:bCs/>
        </w:rPr>
        <w:t xml:space="preserve">allocations set at the lower edge, i.e. </w:t>
      </w:r>
      <w:r w:rsidR="00553018">
        <w:rPr>
          <w:bCs/>
        </w:rPr>
        <w:t>24@0, 1@0, 100@0</w:t>
      </w:r>
      <w:r w:rsidR="00C746CE">
        <w:rPr>
          <w:bCs/>
        </w:rPr>
        <w:t>, what at the same time simplifies the test definition</w:t>
      </w:r>
      <w:r w:rsidR="00553018">
        <w:rPr>
          <w:bCs/>
        </w:rPr>
        <w:t>.</w:t>
      </w:r>
    </w:p>
    <w:p w14:paraId="1BDD0F8C" w14:textId="7F69350E" w:rsidR="000D373C" w:rsidRPr="004D778C" w:rsidRDefault="00553018" w:rsidP="00D56051">
      <w:bookmarkStart w:id="5" w:name="_Ref153544543"/>
      <w:r w:rsidRPr="004D778C">
        <w:rPr>
          <w:b/>
          <w:bCs/>
        </w:rPr>
        <w:t xml:space="preserve">Proposal </w:t>
      </w:r>
      <w:r w:rsidRPr="004D778C">
        <w:rPr>
          <w:b/>
          <w:bCs/>
        </w:rPr>
        <w:fldChar w:fldCharType="begin"/>
      </w:r>
      <w:r w:rsidRPr="004D778C">
        <w:rPr>
          <w:b/>
          <w:bCs/>
        </w:rPr>
        <w:instrText xml:space="preserve"> SEQ Proposal \* ARABIC </w:instrText>
      </w:r>
      <w:r w:rsidRPr="004D778C">
        <w:rPr>
          <w:b/>
          <w:bCs/>
        </w:rPr>
        <w:fldChar w:fldCharType="separate"/>
      </w:r>
      <w:r w:rsidR="007C781C">
        <w:rPr>
          <w:b/>
          <w:bCs/>
          <w:noProof/>
        </w:rPr>
        <w:t>1</w:t>
      </w:r>
      <w:r w:rsidRPr="004D778C">
        <w:rPr>
          <w:b/>
          <w:bCs/>
        </w:rPr>
        <w:fldChar w:fldCharType="end"/>
      </w:r>
      <w:r w:rsidRPr="004D778C">
        <w:rPr>
          <w:b/>
          <w:bCs/>
        </w:rPr>
        <w:t>.</w:t>
      </w:r>
      <w:r>
        <w:t xml:space="preserve"> </w:t>
      </w:r>
      <w:r w:rsidR="005F438C" w:rsidRPr="004D778C">
        <w:t>To test only setting UL PRB allocations at the lower edge</w:t>
      </w:r>
      <w:r w:rsidR="004A25A9">
        <w:t xml:space="preserve"> of the </w:t>
      </w:r>
      <w:proofErr w:type="gramStart"/>
      <w:r w:rsidR="004A25A9">
        <w:t>CBW</w:t>
      </w:r>
      <w:r w:rsidR="004D778C" w:rsidRPr="004D778C">
        <w:t>;</w:t>
      </w:r>
      <w:proofErr w:type="gramEnd"/>
      <w:r w:rsidR="004D778C" w:rsidRPr="004D778C">
        <w:t xml:space="preserve"> i.e. 24@0, 1@0, 100@0</w:t>
      </w:r>
      <w:r w:rsidRPr="004D778C">
        <w:t>.</w:t>
      </w:r>
      <w:bookmarkEnd w:id="5"/>
    </w:p>
    <w:p w14:paraId="607DA552" w14:textId="3BCEA5E0" w:rsidR="00D56051" w:rsidRDefault="00261645" w:rsidP="00D56051">
      <w:pPr>
        <w:rPr>
          <w:rFonts w:eastAsia="Batang"/>
        </w:rPr>
      </w:pPr>
      <w:r>
        <w:t xml:space="preserve">In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_Ref153449725 \r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 w:rsidR="007C781C">
        <w:rPr>
          <w:rFonts w:eastAsia="Batang"/>
        </w:rPr>
        <w:t>[6]</w:t>
      </w:r>
      <w:r>
        <w:rPr>
          <w:rFonts w:eastAsia="Batang"/>
        </w:rPr>
        <w:fldChar w:fldCharType="end"/>
      </w:r>
      <w:r>
        <w:rPr>
          <w:rFonts w:eastAsia="Batang"/>
        </w:rPr>
        <w:t>, proposals 2 and 3</w:t>
      </w:r>
      <w:r w:rsidR="00981D05">
        <w:rPr>
          <w:rFonts w:eastAsia="Batang"/>
        </w:rPr>
        <w:t>, it was defined</w:t>
      </w:r>
      <w:r w:rsidR="00B97C39">
        <w:rPr>
          <w:rFonts w:eastAsia="Batang"/>
        </w:rPr>
        <w:t xml:space="preserve"> and agreed</w:t>
      </w:r>
      <w:r w:rsidR="00981D05">
        <w:rPr>
          <w:rFonts w:eastAsia="Batang"/>
        </w:rPr>
        <w:t xml:space="preserve"> the minimum power per PRB depending on the PRB power step change</w:t>
      </w:r>
      <w:r w:rsidR="00074008">
        <w:rPr>
          <w:rFonts w:eastAsia="Batang"/>
        </w:rPr>
        <w:t xml:space="preserve"> (</w:t>
      </w:r>
      <w:r w:rsidR="001304EA">
        <w:rPr>
          <w:rFonts w:eastAsia="Batang"/>
        </w:rPr>
        <w:t>24:1 or 100:1)</w:t>
      </w:r>
      <w:r w:rsidR="00D07D89">
        <w:rPr>
          <w:rFonts w:eastAsia="Batang"/>
        </w:rPr>
        <w:t>. However, there was not mention to the subcarrier spacing</w:t>
      </w:r>
      <w:r w:rsidR="007B52A3">
        <w:rPr>
          <w:rFonts w:eastAsia="Batang"/>
        </w:rPr>
        <w:t xml:space="preserve"> (SCS). Minimum requirements are defined for 15kHz and 30kHz SCS</w:t>
      </w:r>
      <w:r w:rsidR="001304EA">
        <w:rPr>
          <w:rFonts w:eastAsia="Batang"/>
        </w:rPr>
        <w:t>. The worst case to do the analysis is for 30kHz because for a given power per PRB, t</w:t>
      </w:r>
      <w:r w:rsidR="000F40C4">
        <w:rPr>
          <w:rFonts w:eastAsia="Batang"/>
        </w:rPr>
        <w:t>he wider the PRB BW the lower</w:t>
      </w:r>
      <w:r w:rsidR="003D2894">
        <w:rPr>
          <w:rFonts w:eastAsia="Batang"/>
        </w:rPr>
        <w:t xml:space="preserve"> the available SNR because more noise will be captured</w:t>
      </w:r>
      <w:r w:rsidR="00756443">
        <w:rPr>
          <w:rFonts w:eastAsia="Batang"/>
        </w:rPr>
        <w:t xml:space="preserve"> along with the wanted signal. </w:t>
      </w:r>
    </w:p>
    <w:p w14:paraId="6BED36F7" w14:textId="58659A34" w:rsidR="00E40BB7" w:rsidRDefault="00E40BB7" w:rsidP="00E40BB7">
      <w:pPr>
        <w:pStyle w:val="Caption"/>
        <w:rPr>
          <w:b w:val="0"/>
          <w:bCs/>
        </w:rPr>
      </w:pPr>
      <w:bookmarkStart w:id="6" w:name="_Ref15354454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7C781C">
        <w:rPr>
          <w:noProof/>
        </w:rPr>
        <w:t>2</w:t>
      </w:r>
      <w:r>
        <w:fldChar w:fldCharType="end"/>
      </w:r>
      <w:r w:rsidRPr="007E6ED0">
        <w:rPr>
          <w:bCs/>
        </w:rPr>
        <w:t>.</w:t>
      </w:r>
      <w:r>
        <w:t xml:space="preserve"> </w:t>
      </w:r>
      <w:r>
        <w:rPr>
          <w:b w:val="0"/>
          <w:bCs/>
        </w:rPr>
        <w:t xml:space="preserve">Define MU </w:t>
      </w:r>
      <w:r w:rsidR="00376B21">
        <w:rPr>
          <w:b w:val="0"/>
          <w:bCs/>
        </w:rPr>
        <w:t xml:space="preserve">and TT considering 30kHz SCS as the </w:t>
      </w:r>
      <w:r w:rsidR="008E2E62">
        <w:rPr>
          <w:b w:val="0"/>
          <w:bCs/>
        </w:rPr>
        <w:t>worst case</w:t>
      </w:r>
      <w:r w:rsidR="00376B21">
        <w:rPr>
          <w:b w:val="0"/>
          <w:bCs/>
        </w:rPr>
        <w:t>.</w:t>
      </w:r>
      <w:bookmarkEnd w:id="6"/>
    </w:p>
    <w:p w14:paraId="554A7845" w14:textId="77777777" w:rsidR="00E40BB7" w:rsidRDefault="00E40BB7" w:rsidP="00D56051">
      <w:pPr>
        <w:rPr>
          <w:rFonts w:eastAsia="Batang"/>
        </w:rPr>
      </w:pPr>
    </w:p>
    <w:p w14:paraId="5EF73080" w14:textId="77777777" w:rsidR="00E40BB7" w:rsidRPr="00D56051" w:rsidRDefault="00E40BB7" w:rsidP="00D56051"/>
    <w:p w14:paraId="170AD432" w14:textId="2507AD75" w:rsidR="00DB6CE7" w:rsidRPr="00423F6F" w:rsidRDefault="009A5F6B" w:rsidP="00DB6CE7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lastRenderedPageBreak/>
        <w:t>MU and TT</w:t>
      </w:r>
    </w:p>
    <w:p w14:paraId="32DCA537" w14:textId="4F984C92" w:rsidR="00DB6CE7" w:rsidRDefault="005969E0" w:rsidP="00DB6CE7">
      <w:r>
        <w:t>With all agreements made</w:t>
      </w:r>
      <w:r w:rsidR="00DE4A39">
        <w:t xml:space="preserve"> in previous meetings and the further </w:t>
      </w:r>
      <w:r w:rsidR="002E74C6">
        <w:t>considerations</w:t>
      </w:r>
      <w:r w:rsidR="00DE4A39">
        <w:t xml:space="preserve"> made in this document</w:t>
      </w:r>
      <w:r w:rsidR="002E74C6">
        <w:t xml:space="preserve">, Keysight has evaluated the </w:t>
      </w:r>
      <w:r w:rsidR="00BC0570">
        <w:t>resulting MU</w:t>
      </w:r>
      <w:r w:rsidR="00007566">
        <w:t xml:space="preserve"> in their test system and obtained values are</w:t>
      </w:r>
      <w:r w:rsidR="00BC0570">
        <w:t xml:space="preserve"> </w:t>
      </w:r>
      <w:r w:rsidR="00007566">
        <w:t>1.8% for 24:1 PRB reallocation</w:t>
      </w:r>
      <w:r w:rsidR="00483C04">
        <w:t xml:space="preserve"> and 2.3% for 100:1 PRB reallocation. With those values, it can be easily checked that relative EVM measurement increase vs the minimum requirement (</w:t>
      </w:r>
      <w:r w:rsidR="00FF0FB1">
        <w:t xml:space="preserve">8% for 256QAM, 10% for 64QAM) is less than 7.5%. As are result, </w:t>
      </w:r>
      <w:r w:rsidR="00E16530">
        <w:t xml:space="preserve">as described in </w:t>
      </w:r>
      <w:r w:rsidR="00E16530">
        <w:fldChar w:fldCharType="begin"/>
      </w:r>
      <w:r w:rsidR="00E16530">
        <w:instrText xml:space="preserve"> REF _Ref147743621 \r \h </w:instrText>
      </w:r>
      <w:r w:rsidR="00E16530">
        <w:fldChar w:fldCharType="separate"/>
      </w:r>
      <w:r w:rsidR="007C781C">
        <w:t>[1]</w:t>
      </w:r>
      <w:r w:rsidR="00E16530">
        <w:fldChar w:fldCharType="end"/>
      </w:r>
      <w:r w:rsidR="00E16530">
        <w:t xml:space="preserve">, </w:t>
      </w:r>
      <w:r w:rsidR="002A25FF">
        <w:t xml:space="preserve">the proposed TT is 0% for both </w:t>
      </w:r>
      <w:r w:rsidR="00421FAE">
        <w:t>modulations</w:t>
      </w:r>
      <w:r w:rsidR="002A25FF">
        <w:t>.</w:t>
      </w:r>
    </w:p>
    <w:p w14:paraId="134B1FF8" w14:textId="77777777" w:rsidR="008A21F2" w:rsidRDefault="008A21F2" w:rsidP="00DB6CE7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1"/>
        <w:gridCol w:w="1971"/>
        <w:gridCol w:w="1953"/>
        <w:gridCol w:w="1935"/>
      </w:tblGrid>
      <w:tr w:rsidR="002E74C6" w14:paraId="22781AEE" w14:textId="77777777" w:rsidTr="008A21F2">
        <w:trPr>
          <w:jc w:val="center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9DCB" w14:textId="77777777" w:rsidR="002E74C6" w:rsidRDefault="002E74C6">
            <w:pPr>
              <w:pStyle w:val="ListParagraph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Modulation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7E65" w14:textId="1F414356" w:rsidR="002E74C6" w:rsidRDefault="002E74C6">
            <w:pPr>
              <w:pStyle w:val="ListParagraph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PRB Reallocation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C4C4" w14:textId="77777777" w:rsidR="002E74C6" w:rsidRDefault="002E74C6">
            <w:pPr>
              <w:pStyle w:val="ListParagraph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MTSU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4B4A" w14:textId="77777777" w:rsidR="002E74C6" w:rsidRDefault="002E74C6">
            <w:pPr>
              <w:pStyle w:val="ListParagraph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TT</w:t>
            </w:r>
          </w:p>
        </w:tc>
      </w:tr>
      <w:tr w:rsidR="002E74C6" w14:paraId="3E1ADE8D" w14:textId="77777777" w:rsidTr="008A21F2">
        <w:trPr>
          <w:jc w:val="center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F1C4" w14:textId="77777777" w:rsidR="002E74C6" w:rsidRDefault="002E74C6">
            <w:pPr>
              <w:pStyle w:val="ListParagraph"/>
              <w:numPr>
                <w:ilvl w:val="0"/>
                <w:numId w:val="0"/>
              </w:numPr>
              <w:jc w:val="center"/>
            </w:pPr>
            <w:r>
              <w:t>64QAM/256QAM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D178" w14:textId="465BDB92" w:rsidR="002E74C6" w:rsidRDefault="002E74C6">
            <w:pPr>
              <w:pStyle w:val="ListParagraph"/>
              <w:numPr>
                <w:ilvl w:val="0"/>
                <w:numId w:val="0"/>
              </w:numPr>
              <w:jc w:val="center"/>
            </w:pPr>
            <w:r>
              <w:t>24:1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AEC6" w14:textId="64A2E7F1" w:rsidR="002E74C6" w:rsidRDefault="002E74C6">
            <w:pPr>
              <w:pStyle w:val="ListParagraph"/>
              <w:numPr>
                <w:ilvl w:val="0"/>
                <w:numId w:val="0"/>
              </w:numPr>
              <w:jc w:val="center"/>
            </w:pPr>
            <w:r>
              <w:t>1.</w:t>
            </w:r>
            <w:r w:rsidR="00BC0570">
              <w:t>8</w:t>
            </w:r>
            <w:r>
              <w:t>%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ADAF" w14:textId="77777777" w:rsidR="002E74C6" w:rsidRDefault="002E74C6">
            <w:pPr>
              <w:pStyle w:val="ListParagraph"/>
              <w:numPr>
                <w:ilvl w:val="0"/>
                <w:numId w:val="0"/>
              </w:numPr>
              <w:jc w:val="center"/>
            </w:pPr>
            <w:r>
              <w:t>0%</w:t>
            </w:r>
          </w:p>
        </w:tc>
      </w:tr>
      <w:tr w:rsidR="002E74C6" w14:paraId="759D6205" w14:textId="77777777" w:rsidTr="008A21F2">
        <w:trPr>
          <w:jc w:val="center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A81B" w14:textId="77777777" w:rsidR="002E74C6" w:rsidRDefault="002E74C6">
            <w:pPr>
              <w:pStyle w:val="ListParagraph"/>
              <w:numPr>
                <w:ilvl w:val="0"/>
                <w:numId w:val="0"/>
              </w:numPr>
              <w:jc w:val="center"/>
            </w:pPr>
            <w:r>
              <w:t>64QAM/256QAM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E854" w14:textId="6409C37C" w:rsidR="002E74C6" w:rsidRDefault="002E74C6">
            <w:pPr>
              <w:pStyle w:val="ListParagraph"/>
              <w:numPr>
                <w:ilvl w:val="0"/>
                <w:numId w:val="0"/>
              </w:numPr>
              <w:jc w:val="center"/>
            </w:pPr>
            <w:r>
              <w:t>100:1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53FA" w14:textId="16E8C2CD" w:rsidR="002E74C6" w:rsidRDefault="00BC0570">
            <w:pPr>
              <w:pStyle w:val="ListParagraph"/>
              <w:numPr>
                <w:ilvl w:val="0"/>
                <w:numId w:val="0"/>
              </w:numPr>
              <w:jc w:val="center"/>
            </w:pPr>
            <w:r>
              <w:t>2.3</w:t>
            </w:r>
            <w:r w:rsidR="002E74C6">
              <w:t>%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5172" w14:textId="77777777" w:rsidR="002E74C6" w:rsidRDefault="002E74C6">
            <w:pPr>
              <w:pStyle w:val="ListParagraph"/>
              <w:numPr>
                <w:ilvl w:val="0"/>
                <w:numId w:val="0"/>
              </w:numPr>
              <w:jc w:val="center"/>
            </w:pPr>
            <w:r>
              <w:t>0%</w:t>
            </w:r>
          </w:p>
        </w:tc>
      </w:tr>
    </w:tbl>
    <w:p w14:paraId="31C65154" w14:textId="18D3CD86" w:rsidR="008A21F2" w:rsidRDefault="008A21F2" w:rsidP="008A21F2">
      <w:pPr>
        <w:jc w:val="center"/>
      </w:pPr>
      <w:r>
        <w:rPr>
          <w:b/>
          <w:bCs/>
        </w:rPr>
        <w:t>Table 2.</w:t>
      </w:r>
      <w:r w:rsidR="005969E0">
        <w:rPr>
          <w:b/>
          <w:bCs/>
        </w:rPr>
        <w:t>2</w:t>
      </w:r>
      <w:r>
        <w:rPr>
          <w:b/>
          <w:bCs/>
        </w:rPr>
        <w:t>-1.</w:t>
      </w:r>
      <w:r>
        <w:t xml:space="preserve"> Keysight proposed MTSU and TT depending on the PRB </w:t>
      </w:r>
      <w:r w:rsidR="00421FAE">
        <w:t>reallocation</w:t>
      </w:r>
      <w:r>
        <w:t xml:space="preserve"> and the modulation.</w:t>
      </w:r>
    </w:p>
    <w:p w14:paraId="73D381E8" w14:textId="59243E1B" w:rsidR="00855A68" w:rsidRDefault="00855A68" w:rsidP="00855A68">
      <w:pPr>
        <w:pStyle w:val="Caption"/>
      </w:pPr>
      <w:bookmarkStart w:id="7" w:name="_Ref13953298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7C781C">
        <w:rPr>
          <w:noProof/>
        </w:rPr>
        <w:t>3</w:t>
      </w:r>
      <w:r>
        <w:fldChar w:fldCharType="end"/>
      </w:r>
      <w:r>
        <w:rPr>
          <w:bCs/>
        </w:rPr>
        <w:t>.</w:t>
      </w:r>
      <w:r>
        <w:t xml:space="preserve"> </w:t>
      </w:r>
      <w:r>
        <w:rPr>
          <w:b w:val="0"/>
          <w:bCs/>
        </w:rPr>
        <w:t>For a 24:1 PRB reallocation, assume MTSU of 1.</w:t>
      </w:r>
      <w:r w:rsidR="001E3B0F">
        <w:rPr>
          <w:b w:val="0"/>
          <w:bCs/>
        </w:rPr>
        <w:t>8</w:t>
      </w:r>
      <w:r>
        <w:rPr>
          <w:b w:val="0"/>
          <w:bCs/>
        </w:rPr>
        <w:t>% and a corresponding TT of 0% for both 64QAM and 256QAM, up to 100MHz BW and 6GHz frequency range.</w:t>
      </w:r>
      <w:bookmarkEnd w:id="7"/>
    </w:p>
    <w:p w14:paraId="10EFC754" w14:textId="394991D7" w:rsidR="001E3B0F" w:rsidRDefault="001E3B0F" w:rsidP="001E3B0F">
      <w:pPr>
        <w:pStyle w:val="Caption"/>
      </w:pPr>
      <w:bookmarkStart w:id="8" w:name="_Ref15354455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7C781C">
        <w:rPr>
          <w:noProof/>
        </w:rPr>
        <w:t>4</w:t>
      </w:r>
      <w:r>
        <w:fldChar w:fldCharType="end"/>
      </w:r>
      <w:r>
        <w:rPr>
          <w:bCs/>
        </w:rPr>
        <w:t>.</w:t>
      </w:r>
      <w:r>
        <w:t xml:space="preserve"> </w:t>
      </w:r>
      <w:r>
        <w:rPr>
          <w:b w:val="0"/>
          <w:bCs/>
        </w:rPr>
        <w:t>For a 100:1 PRB reallocation, assume MTSU of 2.3% and a corresponding TT of 0% for both 64QAM and 256QAM, up to 100MHz BW and 6GHz frequency range.</w:t>
      </w:r>
      <w:bookmarkEnd w:id="8"/>
    </w:p>
    <w:p w14:paraId="43F5797D" w14:textId="627FF25B" w:rsidR="00F46E30" w:rsidRPr="00F46E30" w:rsidRDefault="00F46E30" w:rsidP="00C42EBF"/>
    <w:bookmarkEnd w:id="1"/>
    <w:bookmarkEnd w:id="2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t>Conclusion</w:t>
      </w:r>
    </w:p>
    <w:p w14:paraId="41FA10DA" w14:textId="0CFFC495" w:rsidR="00734F28" w:rsidRDefault="00F6267E" w:rsidP="00F6267E">
      <w:r>
        <w:t xml:space="preserve">The </w:t>
      </w:r>
      <w:r w:rsidR="00734F28">
        <w:t xml:space="preserve">following observations and </w:t>
      </w:r>
      <w:r w:rsidR="00476D0F">
        <w:t>proposals</w:t>
      </w:r>
      <w:r w:rsidR="00734F28">
        <w:t xml:space="preserve"> were made in this contribution. </w:t>
      </w:r>
    </w:p>
    <w:p w14:paraId="7B60B274" w14:textId="58EECEF3" w:rsidR="00C77138" w:rsidRPr="00C77138" w:rsidRDefault="00C77138" w:rsidP="00F6267E">
      <w:r w:rsidRPr="00C77138">
        <w:fldChar w:fldCharType="begin"/>
      </w:r>
      <w:r w:rsidRPr="00C77138">
        <w:instrText xml:space="preserve"> REF _Ref153544528 \h  \* MERGEFORMAT </w:instrText>
      </w:r>
      <w:r w:rsidRPr="00C77138">
        <w:fldChar w:fldCharType="separate"/>
      </w:r>
      <w:r w:rsidR="007C781C" w:rsidRPr="007C781C">
        <w:rPr>
          <w:b/>
          <w:bCs/>
        </w:rPr>
        <w:t xml:space="preserve">Observation </w:t>
      </w:r>
      <w:r w:rsidR="007C781C" w:rsidRPr="007C781C">
        <w:rPr>
          <w:b/>
          <w:bCs/>
          <w:noProof/>
        </w:rPr>
        <w:t>1.</w:t>
      </w:r>
      <w:r w:rsidR="007C781C">
        <w:t xml:space="preserve"> </w:t>
      </w:r>
      <w:r w:rsidR="007C781C" w:rsidRPr="007C781C">
        <w:t>According to proposal 1 agreed in [5], for BWs ≤ 15MHz for 15kHz SCS and BWs ≤ 35MHz for 30kHz SCS power change will be tested using a 24:1 PRB reallocation.</w:t>
      </w:r>
      <w:r w:rsidRPr="00C77138">
        <w:fldChar w:fldCharType="end"/>
      </w:r>
    </w:p>
    <w:p w14:paraId="408ECD0F" w14:textId="15C88738" w:rsidR="00C77138" w:rsidRPr="00C77138" w:rsidRDefault="00C77138" w:rsidP="00F6267E">
      <w:r w:rsidRPr="00C77138">
        <w:fldChar w:fldCharType="begin"/>
      </w:r>
      <w:r w:rsidRPr="00C77138">
        <w:instrText xml:space="preserve"> REF _Ref153544533 \h  \* MERGEFORMAT </w:instrText>
      </w:r>
      <w:r w:rsidRPr="00C77138">
        <w:fldChar w:fldCharType="separate"/>
      </w:r>
      <w:r w:rsidR="007C781C" w:rsidRPr="007C781C">
        <w:rPr>
          <w:b/>
          <w:bCs/>
        </w:rPr>
        <w:t xml:space="preserve">Observation </w:t>
      </w:r>
      <w:r w:rsidR="007C781C" w:rsidRPr="007C781C">
        <w:rPr>
          <w:b/>
          <w:bCs/>
          <w:noProof/>
        </w:rPr>
        <w:t>2.</w:t>
      </w:r>
      <w:r w:rsidR="007C781C">
        <w:t xml:space="preserve"> </w:t>
      </w:r>
      <w:r w:rsidR="007C781C" w:rsidRPr="007C781C">
        <w:t>For the rest of BW and SCS combinations, testing 100:1 PRB reallocation (20dB power change) or 24:1 PRB reallocation (24:1 PRB reallocation) will depend on the final MU analysis.</w:t>
      </w:r>
      <w:r w:rsidRPr="00C77138">
        <w:fldChar w:fldCharType="end"/>
      </w:r>
    </w:p>
    <w:p w14:paraId="18132EBD" w14:textId="3DDDDE01" w:rsidR="00C77138" w:rsidRPr="00C77138" w:rsidRDefault="00C77138" w:rsidP="00F6267E">
      <w:r w:rsidRPr="00C77138">
        <w:fldChar w:fldCharType="begin"/>
      </w:r>
      <w:r w:rsidRPr="00C77138">
        <w:instrText xml:space="preserve"> REF _Ref153544543 \h  \* MERGEFORMAT </w:instrText>
      </w:r>
      <w:r w:rsidRPr="00C77138">
        <w:fldChar w:fldCharType="separate"/>
      </w:r>
      <w:r w:rsidR="007C781C" w:rsidRPr="004D778C">
        <w:rPr>
          <w:b/>
          <w:bCs/>
        </w:rPr>
        <w:t xml:space="preserve">Proposal </w:t>
      </w:r>
      <w:r w:rsidR="007C781C">
        <w:rPr>
          <w:b/>
          <w:bCs/>
          <w:noProof/>
        </w:rPr>
        <w:t>1</w:t>
      </w:r>
      <w:r w:rsidR="007C781C" w:rsidRPr="004D778C">
        <w:rPr>
          <w:b/>
          <w:bCs/>
          <w:noProof/>
        </w:rPr>
        <w:t>.</w:t>
      </w:r>
      <w:r w:rsidR="007C781C">
        <w:t xml:space="preserve"> </w:t>
      </w:r>
      <w:r w:rsidR="007C781C" w:rsidRPr="004D778C">
        <w:t>To test only setting UL PRB allocations at the lower edge</w:t>
      </w:r>
      <w:r w:rsidR="007C781C">
        <w:t xml:space="preserve"> of the </w:t>
      </w:r>
      <w:proofErr w:type="gramStart"/>
      <w:r w:rsidR="007C781C">
        <w:t>CBW</w:t>
      </w:r>
      <w:r w:rsidR="007C781C" w:rsidRPr="004D778C">
        <w:t>;</w:t>
      </w:r>
      <w:proofErr w:type="gramEnd"/>
      <w:r w:rsidR="007C781C" w:rsidRPr="004D778C">
        <w:t xml:space="preserve"> i.e. 24@0, 1@0, 100@0.</w:t>
      </w:r>
      <w:r w:rsidRPr="00C77138">
        <w:fldChar w:fldCharType="end"/>
      </w:r>
    </w:p>
    <w:p w14:paraId="1A9AFD2C" w14:textId="123F4C73" w:rsidR="00C77138" w:rsidRPr="00C77138" w:rsidRDefault="00C77138" w:rsidP="00F6267E">
      <w:r w:rsidRPr="00C77138">
        <w:fldChar w:fldCharType="begin"/>
      </w:r>
      <w:r w:rsidRPr="00C77138">
        <w:instrText xml:space="preserve"> REF _Ref153544547 \h  \* MERGEFORMAT </w:instrText>
      </w:r>
      <w:r w:rsidRPr="00C77138">
        <w:fldChar w:fldCharType="separate"/>
      </w:r>
      <w:r w:rsidR="007C781C" w:rsidRPr="007C781C">
        <w:rPr>
          <w:b/>
          <w:bCs/>
        </w:rPr>
        <w:t xml:space="preserve">Proposal </w:t>
      </w:r>
      <w:r w:rsidR="007C781C" w:rsidRPr="007C781C">
        <w:rPr>
          <w:b/>
          <w:bCs/>
          <w:noProof/>
        </w:rPr>
        <w:t>2.</w:t>
      </w:r>
      <w:r w:rsidR="007C781C">
        <w:t xml:space="preserve"> </w:t>
      </w:r>
      <w:r w:rsidR="007C781C" w:rsidRPr="007C781C">
        <w:t>Define MU and TT considering 30kHz SCS as the worst case.</w:t>
      </w:r>
      <w:r w:rsidRPr="00C77138">
        <w:fldChar w:fldCharType="end"/>
      </w:r>
    </w:p>
    <w:p w14:paraId="233C8581" w14:textId="2D8589ED" w:rsidR="00C77138" w:rsidRPr="00C77138" w:rsidRDefault="00C77138" w:rsidP="00F6267E">
      <w:r w:rsidRPr="00C77138">
        <w:fldChar w:fldCharType="begin"/>
      </w:r>
      <w:r w:rsidRPr="00C77138">
        <w:instrText xml:space="preserve"> REF _Ref139532989 \h  \* MERGEFORMAT </w:instrText>
      </w:r>
      <w:r w:rsidRPr="00C77138">
        <w:fldChar w:fldCharType="separate"/>
      </w:r>
      <w:r w:rsidR="007C781C" w:rsidRPr="007C781C">
        <w:rPr>
          <w:b/>
          <w:bCs/>
        </w:rPr>
        <w:t xml:space="preserve">Proposal </w:t>
      </w:r>
      <w:r w:rsidR="007C781C" w:rsidRPr="007C781C">
        <w:rPr>
          <w:b/>
          <w:bCs/>
          <w:noProof/>
        </w:rPr>
        <w:t>3.</w:t>
      </w:r>
      <w:r w:rsidR="007C781C">
        <w:t xml:space="preserve"> </w:t>
      </w:r>
      <w:r w:rsidR="007C781C" w:rsidRPr="007C781C">
        <w:t>For a 24:1 PRB reallocation, assume MTSU of 1.8% and a corresponding TT of 0% for both 64QAM and 256QAM, up to 100MHz BW and 6GHz frequency range.</w:t>
      </w:r>
      <w:r w:rsidRPr="00C77138">
        <w:fldChar w:fldCharType="end"/>
      </w:r>
    </w:p>
    <w:p w14:paraId="51BC9FFE" w14:textId="4DD0C4F7" w:rsidR="00C77138" w:rsidRPr="00C77138" w:rsidRDefault="00C77138" w:rsidP="00F6267E">
      <w:r w:rsidRPr="00C77138">
        <w:fldChar w:fldCharType="begin"/>
      </w:r>
      <w:r w:rsidRPr="00C77138">
        <w:instrText xml:space="preserve"> REF _Ref153544555 \h  \* MERGEFORMAT </w:instrText>
      </w:r>
      <w:r w:rsidRPr="00C77138">
        <w:fldChar w:fldCharType="separate"/>
      </w:r>
      <w:r w:rsidR="007C781C" w:rsidRPr="007C781C">
        <w:rPr>
          <w:b/>
          <w:bCs/>
        </w:rPr>
        <w:t xml:space="preserve">Proposal </w:t>
      </w:r>
      <w:r w:rsidR="007C781C" w:rsidRPr="007C781C">
        <w:rPr>
          <w:b/>
          <w:bCs/>
          <w:noProof/>
        </w:rPr>
        <w:t>4.</w:t>
      </w:r>
      <w:r w:rsidR="007C781C">
        <w:t xml:space="preserve"> </w:t>
      </w:r>
      <w:r w:rsidR="007C781C" w:rsidRPr="007C781C">
        <w:t>For a 100:1 PRB reallocation, assume MTSU of 2.3% and a corresponding TT of 0% for both 64QAM and 256QAM, up to 100MHz BW and 6GHz frequency range.</w:t>
      </w:r>
      <w:r w:rsidRPr="00C77138">
        <w:fldChar w:fldCharType="end"/>
      </w:r>
    </w:p>
    <w:p w14:paraId="2CD36F5E" w14:textId="77777777" w:rsidR="00C77138" w:rsidRDefault="00C77138" w:rsidP="00F6267E"/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178AF996" w14:textId="77777777" w:rsidR="00444955" w:rsidRPr="000D55E7" w:rsidRDefault="00444955" w:rsidP="0044495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9" w:name="_Ref147743621"/>
      <w:r w:rsidRPr="000D55E7">
        <w:t>R5-234178, “Discussion on FR1 EVM testing including symbols with transient period”, Keysight, RAN5#100</w:t>
      </w:r>
      <w:bookmarkEnd w:id="9"/>
    </w:p>
    <w:p w14:paraId="4995A417" w14:textId="77777777" w:rsidR="00444955" w:rsidRPr="000D55E7" w:rsidRDefault="00444955" w:rsidP="0044495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0" w:name="_Ref147743623"/>
      <w:r w:rsidRPr="000D55E7">
        <w:t>R5-235865, “MU discussion on FR1 EVM including symbols with transient period”, Anritsu, RAN5#100</w:t>
      </w:r>
      <w:bookmarkEnd w:id="10"/>
    </w:p>
    <w:p w14:paraId="0CC4F3D4" w14:textId="77777777" w:rsidR="00444955" w:rsidRPr="000D55E7" w:rsidRDefault="00444955" w:rsidP="0044495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1" w:name="_Ref147744270"/>
      <w:r w:rsidRPr="000D55E7">
        <w:t>R5-233790, “LS on EVM for shorter transient period capability in FR1”, RAN4, RAN5#100</w:t>
      </w:r>
      <w:bookmarkEnd w:id="11"/>
    </w:p>
    <w:p w14:paraId="7ACACDF3" w14:textId="77777777" w:rsidR="00444955" w:rsidRDefault="00444955" w:rsidP="0044495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2" w:name="_Ref147746993"/>
      <w:r w:rsidRPr="000D55E7">
        <w:t>R5-233760, “Discussion on power settings in FR1 EVM including symbols with transient period”, Anritsu, Apple Inc, RAN5#99</w:t>
      </w:r>
      <w:bookmarkEnd w:id="12"/>
    </w:p>
    <w:p w14:paraId="60DEBCB4" w14:textId="25F1FD26" w:rsidR="00444955" w:rsidRDefault="00690C3E" w:rsidP="0044495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3" w:name="_Ref153449722"/>
      <w:r w:rsidRPr="00690C3E">
        <w:t>R5-237848</w:t>
      </w:r>
      <w:r w:rsidR="00444955" w:rsidRPr="000D55E7">
        <w:t>, “Discussion on FR1 EVM testing including symbols with transient period”, Keysight, RAN5#10</w:t>
      </w:r>
      <w:r w:rsidR="00444955">
        <w:t>1</w:t>
      </w:r>
      <w:bookmarkEnd w:id="13"/>
    </w:p>
    <w:p w14:paraId="07E107EA" w14:textId="51C0FF71" w:rsidR="00690C3E" w:rsidRPr="000D55E7" w:rsidRDefault="00690C3E" w:rsidP="00690C3E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4" w:name="_Ref153449725"/>
      <w:r w:rsidRPr="00690C3E">
        <w:lastRenderedPageBreak/>
        <w:t>R5-2378</w:t>
      </w:r>
      <w:r w:rsidR="00381923">
        <w:t>59</w:t>
      </w:r>
      <w:r w:rsidRPr="000D55E7">
        <w:t>, “</w:t>
      </w:r>
      <w:r w:rsidR="00301221" w:rsidRPr="00CF5E0E">
        <w:rPr>
          <w:bCs/>
        </w:rPr>
        <w:t>On the MU for FR1 EVM including symbols with transient period</w:t>
      </w:r>
      <w:r w:rsidRPr="006A2A8E">
        <w:t xml:space="preserve">”, </w:t>
      </w:r>
      <w:r w:rsidR="005D5073" w:rsidRPr="006A2A8E">
        <w:t>R&amp;S</w:t>
      </w:r>
      <w:r w:rsidRPr="006A2A8E">
        <w:t>, RAN5</w:t>
      </w:r>
      <w:r w:rsidRPr="000D55E7">
        <w:t>#10</w:t>
      </w:r>
      <w:r>
        <w:t>1</w:t>
      </w:r>
      <w:bookmarkEnd w:id="14"/>
    </w:p>
    <w:p w14:paraId="514BDD7C" w14:textId="13344608" w:rsidR="00444955" w:rsidRPr="000D55E7" w:rsidRDefault="00444955" w:rsidP="0044495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5" w:name="_Ref139462885"/>
      <w:r w:rsidRPr="000D55E7">
        <w:rPr>
          <w:rFonts w:eastAsiaTheme="minorEastAsia"/>
        </w:rPr>
        <w:t>TS 38.521-1, “User Equipment (UE) conformance specification; Radio transmission and reception; Part 1: Range 1 Standalone”, v18.0.0 (2023-</w:t>
      </w:r>
      <w:r>
        <w:rPr>
          <w:rFonts w:eastAsiaTheme="minorEastAsia"/>
        </w:rPr>
        <w:t>12</w:t>
      </w:r>
      <w:r w:rsidRPr="000D55E7">
        <w:rPr>
          <w:rFonts w:eastAsiaTheme="minorEastAsia"/>
        </w:rPr>
        <w:t>)</w:t>
      </w:r>
      <w:bookmarkEnd w:id="15"/>
    </w:p>
    <w:p w14:paraId="0E6A1A98" w14:textId="77777777" w:rsidR="00444955" w:rsidRPr="00354167" w:rsidRDefault="00444955" w:rsidP="006A2A8E">
      <w:pPr>
        <w:tabs>
          <w:tab w:val="left" w:pos="426"/>
        </w:tabs>
        <w:overflowPunct w:val="0"/>
        <w:autoSpaceDE w:val="0"/>
        <w:autoSpaceDN w:val="0"/>
        <w:adjustRightInd w:val="0"/>
        <w:ind w:left="360"/>
        <w:textAlignment w:val="baseline"/>
      </w:pPr>
    </w:p>
    <w:sectPr w:rsidR="00444955" w:rsidRPr="003541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C6862" w14:textId="77777777" w:rsidR="00714314" w:rsidRDefault="00714314">
      <w:r>
        <w:separator/>
      </w:r>
    </w:p>
  </w:endnote>
  <w:endnote w:type="continuationSeparator" w:id="0">
    <w:p w14:paraId="33D3A4FC" w14:textId="77777777" w:rsidR="00714314" w:rsidRDefault="00714314">
      <w:r>
        <w:continuationSeparator/>
      </w:r>
    </w:p>
  </w:endnote>
  <w:endnote w:type="continuationNotice" w:id="1">
    <w:p w14:paraId="4DE9CAAE" w14:textId="77777777" w:rsidR="00714314" w:rsidRDefault="007143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95F3D" w14:textId="77777777" w:rsidR="00714314" w:rsidRDefault="00714314">
      <w:r>
        <w:separator/>
      </w:r>
    </w:p>
  </w:footnote>
  <w:footnote w:type="continuationSeparator" w:id="0">
    <w:p w14:paraId="54A61747" w14:textId="77777777" w:rsidR="00714314" w:rsidRDefault="00714314">
      <w:r>
        <w:continuationSeparator/>
      </w:r>
    </w:p>
  </w:footnote>
  <w:footnote w:type="continuationNotice" w:id="1">
    <w:p w14:paraId="31C060EF" w14:textId="77777777" w:rsidR="00714314" w:rsidRDefault="0071431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277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15974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3108378">
    <w:abstractNumId w:val="3"/>
  </w:num>
  <w:num w:numId="4" w16cid:durableId="1560246550">
    <w:abstractNumId w:val="35"/>
  </w:num>
  <w:num w:numId="5" w16cid:durableId="1915316065">
    <w:abstractNumId w:val="2"/>
  </w:num>
  <w:num w:numId="6" w16cid:durableId="417406821">
    <w:abstractNumId w:val="18"/>
  </w:num>
  <w:num w:numId="7" w16cid:durableId="603921104">
    <w:abstractNumId w:val="15"/>
  </w:num>
  <w:num w:numId="8" w16cid:durableId="1335261573">
    <w:abstractNumId w:val="10"/>
  </w:num>
  <w:num w:numId="9" w16cid:durableId="1464470065">
    <w:abstractNumId w:val="23"/>
  </w:num>
  <w:num w:numId="10" w16cid:durableId="496308269">
    <w:abstractNumId w:val="7"/>
  </w:num>
  <w:num w:numId="11" w16cid:durableId="1463233615">
    <w:abstractNumId w:val="28"/>
  </w:num>
  <w:num w:numId="12" w16cid:durableId="423458652">
    <w:abstractNumId w:val="13"/>
  </w:num>
  <w:num w:numId="13" w16cid:durableId="1161851675">
    <w:abstractNumId w:val="27"/>
  </w:num>
  <w:num w:numId="14" w16cid:durableId="9071901">
    <w:abstractNumId w:val="34"/>
  </w:num>
  <w:num w:numId="15" w16cid:durableId="1084718526">
    <w:abstractNumId w:val="12"/>
  </w:num>
  <w:num w:numId="16" w16cid:durableId="515996790">
    <w:abstractNumId w:val="33"/>
  </w:num>
  <w:num w:numId="17" w16cid:durableId="961113060">
    <w:abstractNumId w:val="9"/>
  </w:num>
  <w:num w:numId="18" w16cid:durableId="867109699">
    <w:abstractNumId w:val="25"/>
  </w:num>
  <w:num w:numId="19" w16cid:durableId="1825274695">
    <w:abstractNumId w:val="21"/>
  </w:num>
  <w:num w:numId="20" w16cid:durableId="1995524344">
    <w:abstractNumId w:val="26"/>
  </w:num>
  <w:num w:numId="21" w16cid:durableId="93672933">
    <w:abstractNumId w:val="32"/>
  </w:num>
  <w:num w:numId="22" w16cid:durableId="469172509">
    <w:abstractNumId w:val="24"/>
  </w:num>
  <w:num w:numId="23" w16cid:durableId="1179546305">
    <w:abstractNumId w:val="22"/>
  </w:num>
  <w:num w:numId="24" w16cid:durableId="679232884">
    <w:abstractNumId w:val="11"/>
  </w:num>
  <w:num w:numId="25" w16cid:durableId="1129058182">
    <w:abstractNumId w:val="5"/>
  </w:num>
  <w:num w:numId="26" w16cid:durableId="2094547373">
    <w:abstractNumId w:val="25"/>
  </w:num>
  <w:num w:numId="27" w16cid:durableId="1008289061">
    <w:abstractNumId w:val="25"/>
  </w:num>
  <w:num w:numId="28" w16cid:durableId="2143233623">
    <w:abstractNumId w:val="25"/>
  </w:num>
  <w:num w:numId="29" w16cid:durableId="1574505390">
    <w:abstractNumId w:val="19"/>
  </w:num>
  <w:num w:numId="30" w16cid:durableId="671028718">
    <w:abstractNumId w:val="17"/>
  </w:num>
  <w:num w:numId="31" w16cid:durableId="1955937069">
    <w:abstractNumId w:val="37"/>
  </w:num>
  <w:num w:numId="32" w16cid:durableId="568538944">
    <w:abstractNumId w:val="30"/>
  </w:num>
  <w:num w:numId="33" w16cid:durableId="1466508284">
    <w:abstractNumId w:val="36"/>
  </w:num>
  <w:num w:numId="34" w16cid:durableId="1070929017">
    <w:abstractNumId w:val="16"/>
  </w:num>
  <w:num w:numId="35" w16cid:durableId="2068991147">
    <w:abstractNumId w:val="8"/>
  </w:num>
  <w:num w:numId="36" w16cid:durableId="1627546098">
    <w:abstractNumId w:val="1"/>
  </w:num>
  <w:num w:numId="37" w16cid:durableId="475030788">
    <w:abstractNumId w:val="29"/>
  </w:num>
  <w:num w:numId="38" w16cid:durableId="16153140">
    <w:abstractNumId w:val="14"/>
  </w:num>
  <w:num w:numId="39" w16cid:durableId="1823152173">
    <w:abstractNumId w:val="4"/>
  </w:num>
  <w:num w:numId="40" w16cid:durableId="426386653">
    <w:abstractNumId w:val="31"/>
  </w:num>
  <w:num w:numId="41" w16cid:durableId="2069762685">
    <w:abstractNumId w:val="20"/>
  </w:num>
  <w:num w:numId="42" w16cid:durableId="1276525213">
    <w:abstractNumId w:val="6"/>
  </w:num>
  <w:num w:numId="43" w16cid:durableId="75694525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566"/>
    <w:rsid w:val="000078E2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13C9"/>
    <w:rsid w:val="00074008"/>
    <w:rsid w:val="00077333"/>
    <w:rsid w:val="00082566"/>
    <w:rsid w:val="000833ED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202B"/>
    <w:rsid w:val="000D373C"/>
    <w:rsid w:val="000D39C6"/>
    <w:rsid w:val="000D6B69"/>
    <w:rsid w:val="000D6CFC"/>
    <w:rsid w:val="000E24A4"/>
    <w:rsid w:val="000F40C4"/>
    <w:rsid w:val="00102BA0"/>
    <w:rsid w:val="00110A88"/>
    <w:rsid w:val="00111826"/>
    <w:rsid w:val="00114DB9"/>
    <w:rsid w:val="00116761"/>
    <w:rsid w:val="001174D8"/>
    <w:rsid w:val="00121323"/>
    <w:rsid w:val="00122845"/>
    <w:rsid w:val="00124141"/>
    <w:rsid w:val="001258E2"/>
    <w:rsid w:val="0013001E"/>
    <w:rsid w:val="001304EA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15BC"/>
    <w:rsid w:val="0019340F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A494F"/>
    <w:rsid w:val="001B0CED"/>
    <w:rsid w:val="001B2108"/>
    <w:rsid w:val="001B231F"/>
    <w:rsid w:val="001B425D"/>
    <w:rsid w:val="001B5B4F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3B0F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D1C"/>
    <w:rsid w:val="00234ECB"/>
    <w:rsid w:val="00235394"/>
    <w:rsid w:val="00235813"/>
    <w:rsid w:val="00236683"/>
    <w:rsid w:val="0023752C"/>
    <w:rsid w:val="00241A14"/>
    <w:rsid w:val="002425F5"/>
    <w:rsid w:val="00244EEE"/>
    <w:rsid w:val="0025114C"/>
    <w:rsid w:val="00251340"/>
    <w:rsid w:val="00252AEA"/>
    <w:rsid w:val="00254246"/>
    <w:rsid w:val="00255905"/>
    <w:rsid w:val="0026164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5507"/>
    <w:rsid w:val="0027758E"/>
    <w:rsid w:val="00277A09"/>
    <w:rsid w:val="00282213"/>
    <w:rsid w:val="00282AB5"/>
    <w:rsid w:val="002837DA"/>
    <w:rsid w:val="00287895"/>
    <w:rsid w:val="00287C09"/>
    <w:rsid w:val="0029076F"/>
    <w:rsid w:val="00293732"/>
    <w:rsid w:val="00296B9F"/>
    <w:rsid w:val="00297B62"/>
    <w:rsid w:val="002A25FF"/>
    <w:rsid w:val="002A4112"/>
    <w:rsid w:val="002A4CE1"/>
    <w:rsid w:val="002A7017"/>
    <w:rsid w:val="002A7F4B"/>
    <w:rsid w:val="002B01BA"/>
    <w:rsid w:val="002B11F7"/>
    <w:rsid w:val="002B34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E74C6"/>
    <w:rsid w:val="002F4093"/>
    <w:rsid w:val="002F47E3"/>
    <w:rsid w:val="002F5FAD"/>
    <w:rsid w:val="00300544"/>
    <w:rsid w:val="00301221"/>
    <w:rsid w:val="003045CD"/>
    <w:rsid w:val="00306D8E"/>
    <w:rsid w:val="00307D2C"/>
    <w:rsid w:val="00313528"/>
    <w:rsid w:val="00316602"/>
    <w:rsid w:val="003209E5"/>
    <w:rsid w:val="00323717"/>
    <w:rsid w:val="00324F35"/>
    <w:rsid w:val="00326CFF"/>
    <w:rsid w:val="00331E19"/>
    <w:rsid w:val="00332820"/>
    <w:rsid w:val="003330E9"/>
    <w:rsid w:val="003340C5"/>
    <w:rsid w:val="0033593B"/>
    <w:rsid w:val="003361A9"/>
    <w:rsid w:val="003404F4"/>
    <w:rsid w:val="00342EC7"/>
    <w:rsid w:val="00343EE5"/>
    <w:rsid w:val="00344657"/>
    <w:rsid w:val="00344BCD"/>
    <w:rsid w:val="003450DD"/>
    <w:rsid w:val="00347574"/>
    <w:rsid w:val="00352233"/>
    <w:rsid w:val="00353724"/>
    <w:rsid w:val="00353E42"/>
    <w:rsid w:val="00354167"/>
    <w:rsid w:val="00364DC7"/>
    <w:rsid w:val="00365EF7"/>
    <w:rsid w:val="003663B9"/>
    <w:rsid w:val="00366F9B"/>
    <w:rsid w:val="00367724"/>
    <w:rsid w:val="003679B5"/>
    <w:rsid w:val="003712D2"/>
    <w:rsid w:val="00373148"/>
    <w:rsid w:val="00374836"/>
    <w:rsid w:val="00376B21"/>
    <w:rsid w:val="00380C5B"/>
    <w:rsid w:val="00380F33"/>
    <w:rsid w:val="00381923"/>
    <w:rsid w:val="00381C22"/>
    <w:rsid w:val="003826F8"/>
    <w:rsid w:val="003834B0"/>
    <w:rsid w:val="00384387"/>
    <w:rsid w:val="003907E3"/>
    <w:rsid w:val="0039361E"/>
    <w:rsid w:val="00394D7F"/>
    <w:rsid w:val="0039509E"/>
    <w:rsid w:val="0039608D"/>
    <w:rsid w:val="00397CC0"/>
    <w:rsid w:val="003A1A50"/>
    <w:rsid w:val="003A1E08"/>
    <w:rsid w:val="003B1087"/>
    <w:rsid w:val="003B1AA0"/>
    <w:rsid w:val="003B3A89"/>
    <w:rsid w:val="003B478A"/>
    <w:rsid w:val="003B559B"/>
    <w:rsid w:val="003B5AB0"/>
    <w:rsid w:val="003B7F37"/>
    <w:rsid w:val="003C4291"/>
    <w:rsid w:val="003C47CE"/>
    <w:rsid w:val="003C5232"/>
    <w:rsid w:val="003C69A5"/>
    <w:rsid w:val="003D0F17"/>
    <w:rsid w:val="003D1D54"/>
    <w:rsid w:val="003D2894"/>
    <w:rsid w:val="003D2C79"/>
    <w:rsid w:val="003D472D"/>
    <w:rsid w:val="003D5D10"/>
    <w:rsid w:val="003D7CEB"/>
    <w:rsid w:val="003E300F"/>
    <w:rsid w:val="003E39F0"/>
    <w:rsid w:val="003E3F2D"/>
    <w:rsid w:val="003E567C"/>
    <w:rsid w:val="003E58BB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1FAE"/>
    <w:rsid w:val="00426356"/>
    <w:rsid w:val="00427B4E"/>
    <w:rsid w:val="00431287"/>
    <w:rsid w:val="004420B4"/>
    <w:rsid w:val="00444225"/>
    <w:rsid w:val="00444955"/>
    <w:rsid w:val="0044543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0F"/>
    <w:rsid w:val="00476D28"/>
    <w:rsid w:val="00482CB3"/>
    <w:rsid w:val="004835B4"/>
    <w:rsid w:val="00483C04"/>
    <w:rsid w:val="00484D33"/>
    <w:rsid w:val="00485FCA"/>
    <w:rsid w:val="00490F98"/>
    <w:rsid w:val="00490FAF"/>
    <w:rsid w:val="00491FA6"/>
    <w:rsid w:val="00495A33"/>
    <w:rsid w:val="004A044F"/>
    <w:rsid w:val="004A07A1"/>
    <w:rsid w:val="004A17C7"/>
    <w:rsid w:val="004A25A9"/>
    <w:rsid w:val="004A419F"/>
    <w:rsid w:val="004A6B36"/>
    <w:rsid w:val="004A7D1A"/>
    <w:rsid w:val="004B27EC"/>
    <w:rsid w:val="004C2A16"/>
    <w:rsid w:val="004D0FD5"/>
    <w:rsid w:val="004D5AE5"/>
    <w:rsid w:val="004D778C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111F2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34F8F"/>
    <w:rsid w:val="00541EB9"/>
    <w:rsid w:val="00543311"/>
    <w:rsid w:val="00546367"/>
    <w:rsid w:val="005464FE"/>
    <w:rsid w:val="005471FE"/>
    <w:rsid w:val="00547986"/>
    <w:rsid w:val="00553018"/>
    <w:rsid w:val="00554A16"/>
    <w:rsid w:val="005550DD"/>
    <w:rsid w:val="00555741"/>
    <w:rsid w:val="005603F5"/>
    <w:rsid w:val="005649A1"/>
    <w:rsid w:val="00566838"/>
    <w:rsid w:val="0057713C"/>
    <w:rsid w:val="00580542"/>
    <w:rsid w:val="00580587"/>
    <w:rsid w:val="00581E88"/>
    <w:rsid w:val="00583627"/>
    <w:rsid w:val="0058392F"/>
    <w:rsid w:val="00585B23"/>
    <w:rsid w:val="005908D2"/>
    <w:rsid w:val="00590B5F"/>
    <w:rsid w:val="00592F28"/>
    <w:rsid w:val="00593B56"/>
    <w:rsid w:val="005943B2"/>
    <w:rsid w:val="00595618"/>
    <w:rsid w:val="005969E0"/>
    <w:rsid w:val="005A0EDD"/>
    <w:rsid w:val="005A616F"/>
    <w:rsid w:val="005A6F48"/>
    <w:rsid w:val="005B7B7A"/>
    <w:rsid w:val="005C239F"/>
    <w:rsid w:val="005C331B"/>
    <w:rsid w:val="005C4593"/>
    <w:rsid w:val="005D5073"/>
    <w:rsid w:val="005D6DA8"/>
    <w:rsid w:val="005E12CD"/>
    <w:rsid w:val="005E2166"/>
    <w:rsid w:val="005E2985"/>
    <w:rsid w:val="005E5D66"/>
    <w:rsid w:val="005F3B1B"/>
    <w:rsid w:val="005F438C"/>
    <w:rsid w:val="00607D98"/>
    <w:rsid w:val="0061059A"/>
    <w:rsid w:val="006126CA"/>
    <w:rsid w:val="006131BB"/>
    <w:rsid w:val="00613B1E"/>
    <w:rsid w:val="00614741"/>
    <w:rsid w:val="00616FB0"/>
    <w:rsid w:val="006210C4"/>
    <w:rsid w:val="00622B32"/>
    <w:rsid w:val="00634928"/>
    <w:rsid w:val="00635671"/>
    <w:rsid w:val="00636ABD"/>
    <w:rsid w:val="00641457"/>
    <w:rsid w:val="00641710"/>
    <w:rsid w:val="00643519"/>
    <w:rsid w:val="0064468E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83EDA"/>
    <w:rsid w:val="006856E5"/>
    <w:rsid w:val="00690C3E"/>
    <w:rsid w:val="006937D0"/>
    <w:rsid w:val="00695755"/>
    <w:rsid w:val="00696304"/>
    <w:rsid w:val="00696BE5"/>
    <w:rsid w:val="00696D0A"/>
    <w:rsid w:val="006974B7"/>
    <w:rsid w:val="006A03F3"/>
    <w:rsid w:val="006A2A8E"/>
    <w:rsid w:val="006A5A2A"/>
    <w:rsid w:val="006A5ED0"/>
    <w:rsid w:val="006A68BD"/>
    <w:rsid w:val="006B03F1"/>
    <w:rsid w:val="006B0D02"/>
    <w:rsid w:val="006B1C2F"/>
    <w:rsid w:val="006B363D"/>
    <w:rsid w:val="006B39EF"/>
    <w:rsid w:val="006C2AF9"/>
    <w:rsid w:val="006C3A94"/>
    <w:rsid w:val="006C7E35"/>
    <w:rsid w:val="006D132D"/>
    <w:rsid w:val="006D2259"/>
    <w:rsid w:val="006D6B1F"/>
    <w:rsid w:val="006E45D9"/>
    <w:rsid w:val="006E5B02"/>
    <w:rsid w:val="006F0D5F"/>
    <w:rsid w:val="006F1DCF"/>
    <w:rsid w:val="006F22BA"/>
    <w:rsid w:val="006F4830"/>
    <w:rsid w:val="006F4A1A"/>
    <w:rsid w:val="006F5431"/>
    <w:rsid w:val="006F5C22"/>
    <w:rsid w:val="006F7F2C"/>
    <w:rsid w:val="00700488"/>
    <w:rsid w:val="007037F2"/>
    <w:rsid w:val="00703F5D"/>
    <w:rsid w:val="00705FF6"/>
    <w:rsid w:val="0070646B"/>
    <w:rsid w:val="007066FA"/>
    <w:rsid w:val="00707941"/>
    <w:rsid w:val="00707CE7"/>
    <w:rsid w:val="00714314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2AB2"/>
    <w:rsid w:val="00734F28"/>
    <w:rsid w:val="00735C81"/>
    <w:rsid w:val="007363F0"/>
    <w:rsid w:val="00736A17"/>
    <w:rsid w:val="007373B0"/>
    <w:rsid w:val="007403F2"/>
    <w:rsid w:val="00740C81"/>
    <w:rsid w:val="00741775"/>
    <w:rsid w:val="00744CC1"/>
    <w:rsid w:val="0074650E"/>
    <w:rsid w:val="007472BE"/>
    <w:rsid w:val="00747AD4"/>
    <w:rsid w:val="00752FA3"/>
    <w:rsid w:val="00756443"/>
    <w:rsid w:val="00770A12"/>
    <w:rsid w:val="00773667"/>
    <w:rsid w:val="007748ED"/>
    <w:rsid w:val="00774B17"/>
    <w:rsid w:val="007756A1"/>
    <w:rsid w:val="0078088D"/>
    <w:rsid w:val="00785759"/>
    <w:rsid w:val="00785D03"/>
    <w:rsid w:val="007927CF"/>
    <w:rsid w:val="00793605"/>
    <w:rsid w:val="0079554E"/>
    <w:rsid w:val="00797994"/>
    <w:rsid w:val="007A12E0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2DA3"/>
    <w:rsid w:val="007B52A3"/>
    <w:rsid w:val="007B5856"/>
    <w:rsid w:val="007B6E97"/>
    <w:rsid w:val="007B6FFB"/>
    <w:rsid w:val="007C0BFC"/>
    <w:rsid w:val="007C6DD8"/>
    <w:rsid w:val="007C7582"/>
    <w:rsid w:val="007C781C"/>
    <w:rsid w:val="007D0054"/>
    <w:rsid w:val="007D258B"/>
    <w:rsid w:val="007D2F2F"/>
    <w:rsid w:val="007D36D3"/>
    <w:rsid w:val="007D3BE3"/>
    <w:rsid w:val="007D6048"/>
    <w:rsid w:val="007E0486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154E"/>
    <w:rsid w:val="00803E82"/>
    <w:rsid w:val="00804709"/>
    <w:rsid w:val="00807F76"/>
    <w:rsid w:val="008142CC"/>
    <w:rsid w:val="008152DF"/>
    <w:rsid w:val="008157E2"/>
    <w:rsid w:val="00816C9D"/>
    <w:rsid w:val="0082033D"/>
    <w:rsid w:val="0082128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55A68"/>
    <w:rsid w:val="008602F7"/>
    <w:rsid w:val="00861C5F"/>
    <w:rsid w:val="008626D8"/>
    <w:rsid w:val="00863644"/>
    <w:rsid w:val="00864950"/>
    <w:rsid w:val="00864B00"/>
    <w:rsid w:val="00870861"/>
    <w:rsid w:val="0087155F"/>
    <w:rsid w:val="00871E22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1F2"/>
    <w:rsid w:val="008A2D48"/>
    <w:rsid w:val="008A6143"/>
    <w:rsid w:val="008B0529"/>
    <w:rsid w:val="008B1F24"/>
    <w:rsid w:val="008B5C74"/>
    <w:rsid w:val="008B740A"/>
    <w:rsid w:val="008C2308"/>
    <w:rsid w:val="008C60E9"/>
    <w:rsid w:val="008C7836"/>
    <w:rsid w:val="008D7BED"/>
    <w:rsid w:val="008E2E62"/>
    <w:rsid w:val="008E4413"/>
    <w:rsid w:val="008E4684"/>
    <w:rsid w:val="008E4F84"/>
    <w:rsid w:val="008E684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49BE"/>
    <w:rsid w:val="00925B2A"/>
    <w:rsid w:val="00931702"/>
    <w:rsid w:val="00931918"/>
    <w:rsid w:val="00932F29"/>
    <w:rsid w:val="00937FBD"/>
    <w:rsid w:val="009439E5"/>
    <w:rsid w:val="00945858"/>
    <w:rsid w:val="009514EA"/>
    <w:rsid w:val="00951CC5"/>
    <w:rsid w:val="00951E68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1D05"/>
    <w:rsid w:val="00982B7E"/>
    <w:rsid w:val="00983910"/>
    <w:rsid w:val="00984E5F"/>
    <w:rsid w:val="009913F6"/>
    <w:rsid w:val="00992B5F"/>
    <w:rsid w:val="00997D88"/>
    <w:rsid w:val="009A5F26"/>
    <w:rsid w:val="009A5F6B"/>
    <w:rsid w:val="009A63AD"/>
    <w:rsid w:val="009C0727"/>
    <w:rsid w:val="009C49AE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096A"/>
    <w:rsid w:val="00A313BC"/>
    <w:rsid w:val="00A320FB"/>
    <w:rsid w:val="00A322EF"/>
    <w:rsid w:val="00A3540D"/>
    <w:rsid w:val="00A3584A"/>
    <w:rsid w:val="00A446A0"/>
    <w:rsid w:val="00A4504D"/>
    <w:rsid w:val="00A452C2"/>
    <w:rsid w:val="00A45E4D"/>
    <w:rsid w:val="00A515A6"/>
    <w:rsid w:val="00A51819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67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B765A"/>
    <w:rsid w:val="00AC57B6"/>
    <w:rsid w:val="00AC5BD9"/>
    <w:rsid w:val="00AC6E03"/>
    <w:rsid w:val="00AD17B1"/>
    <w:rsid w:val="00AD4B9B"/>
    <w:rsid w:val="00AD768A"/>
    <w:rsid w:val="00AE116C"/>
    <w:rsid w:val="00AE342A"/>
    <w:rsid w:val="00AE4F0E"/>
    <w:rsid w:val="00AE627B"/>
    <w:rsid w:val="00AE6EAF"/>
    <w:rsid w:val="00AE76AB"/>
    <w:rsid w:val="00AF09E6"/>
    <w:rsid w:val="00AF0F4C"/>
    <w:rsid w:val="00AF3407"/>
    <w:rsid w:val="00AF5AD3"/>
    <w:rsid w:val="00B018D1"/>
    <w:rsid w:val="00B0589A"/>
    <w:rsid w:val="00B12E3A"/>
    <w:rsid w:val="00B14BC8"/>
    <w:rsid w:val="00B20C57"/>
    <w:rsid w:val="00B21D87"/>
    <w:rsid w:val="00B22ADA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3FEC"/>
    <w:rsid w:val="00B478AC"/>
    <w:rsid w:val="00B55D9A"/>
    <w:rsid w:val="00B5661F"/>
    <w:rsid w:val="00B6099D"/>
    <w:rsid w:val="00B62514"/>
    <w:rsid w:val="00B65101"/>
    <w:rsid w:val="00B65706"/>
    <w:rsid w:val="00B71060"/>
    <w:rsid w:val="00B7370C"/>
    <w:rsid w:val="00B73955"/>
    <w:rsid w:val="00B75741"/>
    <w:rsid w:val="00B822A0"/>
    <w:rsid w:val="00B83349"/>
    <w:rsid w:val="00B8446C"/>
    <w:rsid w:val="00B85DD7"/>
    <w:rsid w:val="00B9114A"/>
    <w:rsid w:val="00B92920"/>
    <w:rsid w:val="00B93A4D"/>
    <w:rsid w:val="00B943D6"/>
    <w:rsid w:val="00B97C39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0570"/>
    <w:rsid w:val="00BC1CE0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12F9"/>
    <w:rsid w:val="00BF5875"/>
    <w:rsid w:val="00C01AD5"/>
    <w:rsid w:val="00C01D4A"/>
    <w:rsid w:val="00C050BC"/>
    <w:rsid w:val="00C050CF"/>
    <w:rsid w:val="00C06487"/>
    <w:rsid w:val="00C065DE"/>
    <w:rsid w:val="00C12A68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EBF"/>
    <w:rsid w:val="00C42F12"/>
    <w:rsid w:val="00C451D8"/>
    <w:rsid w:val="00C475DA"/>
    <w:rsid w:val="00C56792"/>
    <w:rsid w:val="00C6278C"/>
    <w:rsid w:val="00C63AA2"/>
    <w:rsid w:val="00C65422"/>
    <w:rsid w:val="00C6599B"/>
    <w:rsid w:val="00C746CE"/>
    <w:rsid w:val="00C76F04"/>
    <w:rsid w:val="00C77138"/>
    <w:rsid w:val="00C804C3"/>
    <w:rsid w:val="00C807DB"/>
    <w:rsid w:val="00C81268"/>
    <w:rsid w:val="00C83771"/>
    <w:rsid w:val="00C87851"/>
    <w:rsid w:val="00C878DE"/>
    <w:rsid w:val="00C9025C"/>
    <w:rsid w:val="00C93744"/>
    <w:rsid w:val="00C958F3"/>
    <w:rsid w:val="00C9614A"/>
    <w:rsid w:val="00CA1AB4"/>
    <w:rsid w:val="00CA3A27"/>
    <w:rsid w:val="00CA3D15"/>
    <w:rsid w:val="00CA517A"/>
    <w:rsid w:val="00CB0D58"/>
    <w:rsid w:val="00CB1971"/>
    <w:rsid w:val="00CB2013"/>
    <w:rsid w:val="00CB29E4"/>
    <w:rsid w:val="00CB54AD"/>
    <w:rsid w:val="00CB5BF2"/>
    <w:rsid w:val="00CC15A4"/>
    <w:rsid w:val="00CC28A9"/>
    <w:rsid w:val="00CC6580"/>
    <w:rsid w:val="00CC6FE0"/>
    <w:rsid w:val="00CD554E"/>
    <w:rsid w:val="00CD6130"/>
    <w:rsid w:val="00CE0386"/>
    <w:rsid w:val="00CF0031"/>
    <w:rsid w:val="00CF0C99"/>
    <w:rsid w:val="00CF46D3"/>
    <w:rsid w:val="00CF61F2"/>
    <w:rsid w:val="00D076FD"/>
    <w:rsid w:val="00D07D89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214"/>
    <w:rsid w:val="00D45EB6"/>
    <w:rsid w:val="00D520E4"/>
    <w:rsid w:val="00D54860"/>
    <w:rsid w:val="00D54AA0"/>
    <w:rsid w:val="00D54F08"/>
    <w:rsid w:val="00D55B87"/>
    <w:rsid w:val="00D56051"/>
    <w:rsid w:val="00D567FB"/>
    <w:rsid w:val="00D57DFA"/>
    <w:rsid w:val="00D6215E"/>
    <w:rsid w:val="00D70DBC"/>
    <w:rsid w:val="00D7306B"/>
    <w:rsid w:val="00D73201"/>
    <w:rsid w:val="00D73647"/>
    <w:rsid w:val="00D77EA4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2216"/>
    <w:rsid w:val="00DB5E7F"/>
    <w:rsid w:val="00DB5ECD"/>
    <w:rsid w:val="00DB6CE7"/>
    <w:rsid w:val="00DC176A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E4A39"/>
    <w:rsid w:val="00DF1AE6"/>
    <w:rsid w:val="00E038CE"/>
    <w:rsid w:val="00E03F11"/>
    <w:rsid w:val="00E0463C"/>
    <w:rsid w:val="00E077C9"/>
    <w:rsid w:val="00E11C02"/>
    <w:rsid w:val="00E16530"/>
    <w:rsid w:val="00E21128"/>
    <w:rsid w:val="00E21AB4"/>
    <w:rsid w:val="00E224FC"/>
    <w:rsid w:val="00E31F57"/>
    <w:rsid w:val="00E32C2E"/>
    <w:rsid w:val="00E336C5"/>
    <w:rsid w:val="00E34241"/>
    <w:rsid w:val="00E34794"/>
    <w:rsid w:val="00E40BB7"/>
    <w:rsid w:val="00E41279"/>
    <w:rsid w:val="00E502C4"/>
    <w:rsid w:val="00E5455B"/>
    <w:rsid w:val="00E556C7"/>
    <w:rsid w:val="00E55ABC"/>
    <w:rsid w:val="00E56168"/>
    <w:rsid w:val="00E561B7"/>
    <w:rsid w:val="00E57B74"/>
    <w:rsid w:val="00E57FEF"/>
    <w:rsid w:val="00E6256A"/>
    <w:rsid w:val="00E642B3"/>
    <w:rsid w:val="00E70C18"/>
    <w:rsid w:val="00E71B84"/>
    <w:rsid w:val="00E86057"/>
    <w:rsid w:val="00E8629F"/>
    <w:rsid w:val="00E90B54"/>
    <w:rsid w:val="00E96BC6"/>
    <w:rsid w:val="00E97AA9"/>
    <w:rsid w:val="00EA09B1"/>
    <w:rsid w:val="00EA0B7F"/>
    <w:rsid w:val="00EA3C24"/>
    <w:rsid w:val="00EA3D76"/>
    <w:rsid w:val="00EA739C"/>
    <w:rsid w:val="00EB0292"/>
    <w:rsid w:val="00EB61A0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421FD"/>
    <w:rsid w:val="00F46E30"/>
    <w:rsid w:val="00F51005"/>
    <w:rsid w:val="00F6267E"/>
    <w:rsid w:val="00F63B69"/>
    <w:rsid w:val="00F7184A"/>
    <w:rsid w:val="00F77EB0"/>
    <w:rsid w:val="00F81AC1"/>
    <w:rsid w:val="00F83415"/>
    <w:rsid w:val="00F86974"/>
    <w:rsid w:val="00F90935"/>
    <w:rsid w:val="00F91F8F"/>
    <w:rsid w:val="00FA0215"/>
    <w:rsid w:val="00FA04B9"/>
    <w:rsid w:val="00FA35B4"/>
    <w:rsid w:val="00FA3AE0"/>
    <w:rsid w:val="00FB2CFC"/>
    <w:rsid w:val="00FB560E"/>
    <w:rsid w:val="00FB69E7"/>
    <w:rsid w:val="00FC051F"/>
    <w:rsid w:val="00FC426E"/>
    <w:rsid w:val="00FC5E17"/>
    <w:rsid w:val="00FC5F9D"/>
    <w:rsid w:val="00FD16E0"/>
    <w:rsid w:val="00FD182B"/>
    <w:rsid w:val="00FD446A"/>
    <w:rsid w:val="00FD7A87"/>
    <w:rsid w:val="00FE1522"/>
    <w:rsid w:val="00FE6645"/>
    <w:rsid w:val="00FE6EAD"/>
    <w:rsid w:val="00FF04B3"/>
    <w:rsid w:val="00FF0FB1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60C65F-1BC5-447E-B22D-26D127B0D6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3</Pages>
  <Words>978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158</cp:revision>
  <dcterms:created xsi:type="dcterms:W3CDTF">2020-05-26T02:02:00Z</dcterms:created>
  <dcterms:modified xsi:type="dcterms:W3CDTF">2024-02-14T08:52:00Z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